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b376-4"/>
    <w:p>
      <w:pPr>
        <w:pStyle w:val="Heading4"/>
      </w:pPr>
      <w:r>
        <w:t xml:space="preserve">Bernard</w:t>
      </w:r>
      <w:r>
        <w:t xml:space="preserve"> </w:t>
      </w:r>
      <w:r>
        <w:rPr>
          <w:i/>
          <w:iCs/>
        </w:rPr>
        <w:t xml:space="preserve">vs.</w:t>
      </w:r>
      <w:r>
        <w:t xml:space="preserve"> </w:t>
      </w:r>
      <w:r>
        <w:t xml:space="preserve">Mullot and others.</w:t>
      </w:r>
    </w:p>
    <w:p>
      <w:pPr>
        <w:pStyle w:val="FirstParagraph"/>
      </w:pPr>
      <w:r>
        <w:t xml:space="preserve">To entitle a defendant to set off a claim against the demand of the plaintiff, he must set forth in his answer the nature of the claim which he intends to set off—and where this was not done ;</w:t>
      </w:r>
      <w:r>
        <w:t xml:space="preserve"> </w:t>
      </w:r>
      <w:r>
        <w:rPr>
          <w:i/>
          <w:iCs/>
        </w:rPr>
        <w:t xml:space="preserve">Held,</w:t>
      </w:r>
      <w:r>
        <w:t xml:space="preserve"> </w:t>
      </w:r>
      <w:r>
        <w:t xml:space="preserve">that the court below properly rejected evidence of the claim proposed to be set off.</w:t>
      </w:r>
    </w:p>
    <w:p>
      <w:pPr>
        <w:pStyle w:val="BodyText"/>
      </w:pPr>
      <w:r>
        <w:t xml:space="preserve">Appeal from the district court of the fourth judicial district, where judgment was rendered in favor of the plaintiff. The cause was tried before the district judge without a jury. At the trial the defendants proposed to give evidence of a certain demand which they claimed to have against the plaintiff, as a set-off, or by way of reducing the amount of the plaintiff’s recovery. This evidence was objected to on the ground that thei’e was no allegation in the answer setting up such a claim, and the district judge refused to allow the set-off upon this ground, and gave judgment in favor of the plaintiff, from which the defendants appeal.</w:t>
      </w:r>
    </w:p>
    <w:bookmarkEnd w:id="20"/>
    <w:p>
      <w:pPr>
        <w:pStyle w:val="BodyText"/>
      </w:pPr>
      <w:r>
        <w:rPr>
          <w:i/>
          <w:iCs/>
        </w:rPr>
        <w:t xml:space="preserve">By the</w:t>
      </w:r>
      <w:r>
        <w:t xml:space="preserve"> </w:t>
      </w:r>
      <w:r>
        <w:t xml:space="preserve">Court,</w:t>
      </w:r>
    </w:p>
    <w:p>
      <w:pPr>
        <w:pStyle w:val="BodyText"/>
      </w:pPr>
      <w:r>
        <w:t xml:space="preserve">Hastings, Ch. J.</w:t>
      </w:r>
    </w:p>
    <w:p>
      <w:pPr>
        <w:pStyle w:val="BodyText"/>
      </w:pPr>
      <w:r>
        <w:t xml:space="preserve">The respondent brought his action to recover the sum of $810 for services rendered by him as a clerk in the employ of the defendants. The correctness of the demand was admitted subject to a set-off of cash advanced which was allowed by the court. The defendants also claimed as an additional set-off, the balance due on certain promissory notes placed in the hands of the respondent, as their clerk, for collection, which exceeded plaintiff’s demand.</w:t>
      </w:r>
    </w:p>
    <w:p>
      <w:pPr>
        <w:pStyle w:val="BodyText"/>
      </w:pPr>
      <w:r>
        <w:t xml:space="preserve">The court rejected the balance claimed and rendered judgment for the plaintiff; and the only question is, whether there was error in refusing to allow the same.</w:t>
      </w:r>
    </w:p>
    <w:p>
      <w:pPr>
        <w:pStyle w:val="BodyText"/>
      </w:pPr>
      <w:r>
        <w:t xml:space="preserve">The defendants’ off-set should be as distinctly stated as the plaintiff’s demand; this is required by the statute. In this case no accurate description of the notes was given in the answer. A recovery could not be had on the notes thus described, because the judgment would not be a bar to another action on the</w:t>
      </w:r>
      <w:r>
        <w:t xml:space="preserve"> </w:t>
      </w:r>
      <w:hyperlink w:anchor="p369">
        <w:r>
          <w:rPr>
            <w:rStyle w:val="Hyperlink"/>
          </w:rPr>
          <w:t xml:space="preserve">*369</w:t>
        </w:r>
      </w:hyperlink>
      <w:r>
        <w:t xml:space="preserve">same notes. The notes were given to the plaintiff as a clerk, and as such be is liable only in two events, viz.: 1st. If be has collected and refuses to pay the same; 2d. If not having collected the money, be has converted the notes and refuses to account for the same.</w:t>
      </w:r>
    </w:p>
    <w:p>
      <w:pPr>
        <w:pStyle w:val="BodyText"/>
      </w:pPr>
      <w:r>
        <w:t xml:space="preserve">There is no averment in the answer of a conversion nor of the collection of the money. And for aught that appears in the answer or testimony the plaintiff was willing to account for the notes when called upon.</w:t>
      </w:r>
    </w:p>
    <w:p>
      <w:pPr>
        <w:pStyle w:val="BodyText"/>
      </w:pPr>
      <w:r>
        <w:t xml:space="preserve">We think clearly there is no error in the judgment of the court, and it is therefore affirmed with costs.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2025-03-01T23:17:30Z</dcterms:created>
  <dcterms:modified xsi:type="dcterms:W3CDTF">2025-03-01T23:17:30Z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